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ind w:left="-1644" w:hanging="0"/>
        <w:jc w:val="right"/>
        <w:rPr/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 w:ascii="Tahoma" w:hAnsi="Tahoma"/>
          <w:b/>
          <w:sz w:val="20"/>
          <w:szCs w:val="20"/>
        </w:rPr>
        <w:tab/>
      </w:r>
      <w:r>
        <w:rPr>
          <w:rFonts w:cs="Tahoma"/>
          <w:b/>
        </w:rPr>
        <w:t xml:space="preserve">  </w:t>
      </w:r>
      <w:r>
        <w:rPr>
          <w:rFonts w:cs="Tahoma"/>
          <w:sz w:val="18"/>
          <w:szCs w:val="18"/>
        </w:rPr>
        <w:t>Приложение №__ к договору подряда</w:t>
      </w:r>
    </w:p>
    <w:p>
      <w:pPr>
        <w:pStyle w:val="Normal"/>
        <w:spacing w:lineRule="auto" w:line="276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18"/>
          <w:szCs w:val="18"/>
        </w:rPr>
        <w:t xml:space="preserve">                                                                                   №</w:t>
      </w:r>
      <w:r>
        <w:rPr>
          <w:rFonts w:cs="Tahoma"/>
          <w:sz w:val="18"/>
          <w:szCs w:val="18"/>
        </w:rPr>
        <w:t>_________________от__________</w:t>
      </w:r>
    </w:p>
    <w:p>
      <w:pPr>
        <w:pStyle w:val="Normal"/>
        <w:spacing w:lineRule="auto" w:line="276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spacing w:lineRule="auto" w:line="276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spacing w:lineRule="auto" w:line="276"/>
        <w:ind w:left="-113" w:hanging="0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spacing w:lineRule="auto" w:line="276"/>
        <w:ind w:left="6973" w:hanging="2017"/>
        <w:jc w:val="right"/>
        <w:rPr/>
      </w:pPr>
      <w:r>
        <w:rPr>
          <w:rFonts w:cs="Tahoma"/>
        </w:rPr>
        <w:t xml:space="preserve">      </w:t>
      </w:r>
      <w:r>
        <w:rPr>
          <w:rFonts w:cs="Tahoma"/>
        </w:rPr>
        <w:t>ООО «Самарские коммунальные системы»</w:t>
      </w:r>
    </w:p>
    <w:p>
      <w:pPr>
        <w:pStyle w:val="Normal"/>
        <w:spacing w:lineRule="auto" w:line="276"/>
        <w:ind w:left="5664" w:hanging="0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 xml:space="preserve">        </w:t>
      </w:r>
      <w:r>
        <w:rPr>
          <w:rFonts w:cs="Tahoma"/>
        </w:rPr>
        <w:t>_________________ В.В. Бирюков</w:t>
      </w:r>
    </w:p>
    <w:p>
      <w:pPr>
        <w:pStyle w:val="Normal"/>
        <w:spacing w:lineRule="auto" w:line="276"/>
        <w:ind w:left="7080" w:hanging="7080"/>
        <w:jc w:val="right"/>
        <w:rPr>
          <w:rFonts w:ascii="Times New Roman" w:hAnsi="Times New Roman" w:cs="Tahoma"/>
        </w:rPr>
      </w:pPr>
      <w:r>
        <w:rPr>
          <w:rFonts w:cs="Tahoma"/>
        </w:rPr>
      </w:r>
    </w:p>
    <w:p>
      <w:pPr>
        <w:pStyle w:val="11"/>
        <w:spacing w:lineRule="auto" w:line="276"/>
        <w:rPr/>
      </w:pPr>
      <w:r>
        <w:rPr>
          <w:rFonts w:cs="Tahoma" w:ascii="Times New Roman" w:hAnsi="Times New Roman"/>
        </w:rPr>
        <w:t>ТЕХНИЧЕСКОЕ ЗАДАНИЕ № СКС-2022-В-ИП-8.4.35</w:t>
      </w:r>
    </w:p>
    <w:p>
      <w:pPr>
        <w:pStyle w:val="Normal"/>
        <w:jc w:val="center"/>
        <w:rPr/>
      </w:pPr>
      <w:bookmarkStart w:id="0" w:name="__DdeLink__462_546582808"/>
      <w:r>
        <w:rPr>
          <w:color w:val="000000"/>
          <w:lang w:eastAsia="zh-CN"/>
        </w:rPr>
        <w:t>М</w:t>
      </w:r>
      <w:r>
        <w:rPr>
          <w:color w:val="000000"/>
        </w:rPr>
        <w:t>одернизация сетей водоотведения и сооружений на них</w:t>
      </w:r>
      <w:r>
        <w:rPr>
          <w:color w:val="auto"/>
          <w:lang w:eastAsia="zh-CN"/>
        </w:rPr>
        <w:t>.</w:t>
      </w:r>
      <w:bookmarkEnd w:id="0"/>
    </w:p>
    <w:p>
      <w:pPr>
        <w:pStyle w:val="Normal"/>
        <w:tabs>
          <w:tab w:val="clear" w:pos="408"/>
          <w:tab w:val="left" w:pos="2520" w:leader="none"/>
        </w:tabs>
        <w:ind w:right="529" w:hanging="0"/>
        <w:jc w:val="center"/>
        <w:rPr>
          <w:color w:val="000000"/>
        </w:rPr>
      </w:pPr>
      <w:r>
        <w:rPr>
          <w:color w:val="000000"/>
        </w:rPr>
        <w:t xml:space="preserve">Линия канализационная  хозяйственно-фекальная  внутриквартальная , расположенная   </w:t>
      </w:r>
    </w:p>
    <w:p>
      <w:pPr>
        <w:pStyle w:val="Normal"/>
        <w:tabs>
          <w:tab w:val="clear" w:pos="408"/>
          <w:tab w:val="left" w:pos="2520" w:leader="none"/>
        </w:tabs>
        <w:ind w:right="529" w:hanging="0"/>
        <w:jc w:val="center"/>
        <w:rPr/>
      </w:pPr>
      <w:r>
        <w:rPr>
          <w:color w:val="000000"/>
        </w:rPr>
        <w:t>по адресу: ул.Красноармейская, 125-125А.</w:t>
      </w:r>
      <w:r>
        <w:rPr>
          <w:color w:val="000000"/>
        </w:rPr>
        <w:t>(</w:t>
      </w:r>
      <w:r>
        <w:rPr>
          <w:color w:val="000000"/>
        </w:rPr>
        <w:t>инв № 700373)</w:t>
      </w:r>
      <w:bookmarkStart w:id="1" w:name="__DdeLink__366_2708591100"/>
      <w:bookmarkStart w:id="2" w:name="__DdeLink__711_2953349968"/>
      <w:bookmarkStart w:id="3" w:name="__DdeLink__390_3579448320"/>
      <w:bookmarkEnd w:id="1"/>
      <w:bookmarkEnd w:id="2"/>
      <w:bookmarkEnd w:id="3"/>
    </w:p>
    <w:tbl>
      <w:tblPr>
        <w:tblW w:w="10795" w:type="dxa"/>
        <w:jc w:val="left"/>
        <w:tblInd w:w="-55" w:type="dxa"/>
        <w:tblCellMar>
          <w:top w:w="0" w:type="dxa"/>
          <w:left w:w="2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10"/>
        <w:gridCol w:w="3660"/>
        <w:gridCol w:w="6625"/>
      </w:tblGrid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631050001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действует на основании доверенности № 20 от 20.02.2021г.     т.+7(846)336-14-02, факс +7(846)336-89-05</w:t>
            </w:r>
          </w:p>
          <w:p>
            <w:pPr>
              <w:pStyle w:val="Normal"/>
              <w:spacing w:lineRule="auto" w:line="276"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2"/>
              <w:spacing w:lineRule="auto" w:line="276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bCs/>
              </w:rPr>
              <w:t>Инвестиционная программа ООО «Самарские коммунальные системы».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left"/>
              <w:rPr/>
            </w:pPr>
            <w:r>
              <w:rPr>
                <w:rFonts w:eastAsia="Tahoma"/>
                <w:color w:val="000000"/>
              </w:rPr>
              <w:t>Линия канализационная хозяйственно-фекальная  внутриквартальная , расположенная  п</w:t>
            </w:r>
            <w:r>
              <w:rPr>
                <w:color w:val="000000"/>
              </w:rPr>
              <w:t>о адресу:ул. Красноармейская 125-125А.</w:t>
            </w:r>
            <w:r>
              <w:rPr>
                <w:rFonts w:eastAsia="Tahoma"/>
                <w:color w:val="000000"/>
              </w:rPr>
              <w:t>(инв № 700373)</w:t>
            </w:r>
            <w:r>
              <w:rPr>
                <w:rFonts w:eastAsia="Tahoma"/>
              </w:rPr>
              <w:t xml:space="preserve">                                  </w:t>
            </w:r>
          </w:p>
        </w:tc>
      </w:tr>
      <w:tr>
        <w:trPr>
          <w:trHeight w:val="458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/>
            </w:pPr>
            <w:r>
              <w:rPr>
                <w:rFonts w:cs="Tahoma"/>
                <w:bCs/>
              </w:rPr>
              <w:t>Плата за</w:t>
            </w:r>
            <w:r>
              <w:rPr>
                <w:rFonts w:cs="Tahoma"/>
                <w:bCs/>
                <w:lang w:val="en-US"/>
              </w:rPr>
              <w:t xml:space="preserve"> </w:t>
            </w:r>
            <w:r>
              <w:rPr>
                <w:rFonts w:cs="Tahoma"/>
                <w:bCs/>
              </w:rPr>
              <w:t>НВС.</w:t>
            </w:r>
          </w:p>
        </w:tc>
      </w:tr>
      <w:tr>
        <w:trPr>
          <w:trHeight w:val="345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color w:val="000000"/>
                <w:lang w:eastAsia="zh-CN"/>
              </w:rPr>
              <w:t>Модернизация сетей водоотведения и сооружений на них</w:t>
            </w:r>
            <w:r>
              <w:rPr>
                <w:color w:val="auto"/>
                <w:lang w:eastAsia="zh-CN"/>
              </w:rPr>
              <w:t xml:space="preserve"> </w:t>
            </w:r>
          </w:p>
        </w:tc>
      </w:tr>
      <w:tr>
        <w:trPr>
          <w:trHeight w:val="1440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408"/>
                <w:tab w:val="left" w:pos="5145" w:leader="none"/>
              </w:tabs>
              <w:snapToGrid w:val="false"/>
              <w:spacing w:lineRule="auto" w:line="276"/>
              <w:rPr/>
            </w:pPr>
            <w:r>
              <w:rPr>
                <w:rFonts w:cs="Tahoma"/>
              </w:rPr>
              <w:t>В соответствии с ведомостью объёмов работ и настоящим ТЗ.</w:t>
            </w:r>
          </w:p>
        </w:tc>
      </w:tr>
      <w:tr>
        <w:trPr>
          <w:trHeight w:val="425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2"/>
              <w:spacing w:lineRule="auto" w:line="276" w:before="120" w:after="120"/>
              <w:ind w:left="0" w:hanging="0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</w:rPr>
              <w:t>Непрерывный, без обслуживающего персонала.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rPr/>
            </w:pPr>
            <w:r>
              <w:rPr>
                <w:rFonts w:cs="Tahoma"/>
              </w:rPr>
              <w:t xml:space="preserve">Предоставление ведомости объёмов работ, схемы сети водоотведения, </w:t>
            </w:r>
            <w:r>
              <w:rPr>
                <w:rFonts w:cs="Tahoma"/>
                <w:iCs/>
                <w:color w:val="000000" w:themeColor="text1"/>
                <w:spacing w:val="-6"/>
              </w:rPr>
              <w:t>ТЗ и сметной документации.</w:t>
            </w:r>
          </w:p>
        </w:tc>
      </w:tr>
      <w:tr>
        <w:trPr>
          <w:trHeight w:val="3216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В</w:t>
            </w:r>
            <w:r>
              <w:rPr>
                <w:rFonts w:cs="Tahoma"/>
                <w:color w:val="000000"/>
              </w:rPr>
              <w:t xml:space="preserve">ыполнение комплекса работ по модернизация сетей водоотведения в соответствии </w:t>
            </w:r>
            <w:r>
              <w:rPr>
                <w:rFonts w:cs="Tahoma"/>
              </w:rPr>
              <w:t>с ведомостью объёмов работ и настоящим ТЗ.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5 дней после подписания договора.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>соответствии с ведомостью объемов работ и локально ресурсным сметным расчетом.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lineRule="auto" w:line="276"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 г. № 444 (с изменениями и дополнениями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 xml:space="preserve">Поставку материалов осуществляет подрядчик. Тип и наименование – в соответствии с сметной документацией и ведомостью объемов работ. </w:t>
            </w:r>
          </w:p>
        </w:tc>
      </w:tr>
      <w:tr>
        <w:trPr>
          <w:trHeight w:val="1875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 и требования к их содержанию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свидетельство, выданное саморегулируемой организацией на выполнение строительно-монтажных работ;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- исполнительную съемку построенной сети водоотведения, выполненную МП г.о. Самара «Архитектурно-планировочное бюро».</w:t>
            </w:r>
          </w:p>
          <w:p>
            <w:pPr>
              <w:pStyle w:val="Normal"/>
              <w:snapToGrid w:val="false"/>
              <w:spacing w:lineRule="auto" w:line="240" w:before="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/>
                <w:sz w:val="24"/>
                <w:szCs w:val="24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before="12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ведомости объёмов работ.</w:t>
            </w:r>
          </w:p>
          <w:p>
            <w:pPr>
              <w:pStyle w:val="ListParagraph"/>
              <w:spacing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решений согласовывается Заказчиком и оформляется в письменном виде с уведомлением Исполнителя ведомостью объёмов работ.</w:t>
            </w:r>
          </w:p>
          <w:p>
            <w:pPr>
              <w:pStyle w:val="Normal"/>
              <w:spacing w:lineRule="auto" w:line="276"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jc w:val="both"/>
              <w:rPr/>
            </w:pPr>
            <w:r>
              <w:rPr>
                <w:rFonts w:cs="Tahoma"/>
              </w:rPr>
              <w:t>В соответствии с ведомостью объёмов работ, 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/>
            </w:pPr>
            <w:r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Ведомость объемов работ.</w:t>
            </w:r>
          </w:p>
        </w:tc>
      </w:tr>
      <w:tr>
        <w:trPr>
          <w:trHeight w:val="601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Сметная документация предоставляется с ведомостью объёмов работ.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документов, Законодательства и проектом.</w:t>
            </w:r>
          </w:p>
          <w:p>
            <w:pPr>
              <w:pStyle w:val="Normal"/>
              <w:spacing w:lineRule="auto" w:line="276"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ведомостью объёмов работ.</w:t>
            </w:r>
          </w:p>
          <w:p>
            <w:pPr>
              <w:pStyle w:val="Normal"/>
              <w:spacing w:lineRule="auto" w:line="276"/>
              <w:jc w:val="both"/>
              <w:rPr>
                <w:rFonts w:cs="Tahoma"/>
              </w:rPr>
            </w:pPr>
            <w:r>
              <w:rPr>
                <w:rFonts w:cs="Tahoma"/>
              </w:rPr>
            </w:r>
          </w:p>
        </w:tc>
      </w:tr>
      <w:tr>
        <w:trPr>
          <w:trHeight w:val="689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 ведомостью объёмов работ.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 ведомостью объёмов работ.</w:t>
            </w:r>
          </w:p>
        </w:tc>
      </w:tr>
      <w:tr>
        <w:trPr>
          <w:trHeight w:val="274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 w:before="12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утилизацию, размещение, за внесение платы за негативное воздействие на окружающую среду в результате размещения образованных отходов.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30 календарных дней с даты заключения договора.</w:t>
            </w:r>
          </w:p>
        </w:tc>
      </w:tr>
      <w:tr>
        <w:trPr>
          <w:trHeight w:val="611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rFonts w:cs="Tahoma"/>
              </w:rPr>
              <w:t>Все необходимые согласования выполняет исполнитель. Отступления от ведомости объемов работ и сметной документации должны быть согласованы с Заказчиком.</w:t>
            </w:r>
          </w:p>
        </w:tc>
      </w:tr>
      <w:tr>
        <w:trPr>
          <w:trHeight w:val="1627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>
          <w:trHeight w:val="1511" w:hRule="atLeast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before="120" w:after="0"/>
              <w:ind w:left="-63" w:right="-3" w:hanging="360"/>
              <w:contextualSpacing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before="0" w:after="0"/>
              <w:ind w:left="-63" w:right="-3" w:hanging="360"/>
              <w:contextualSpacing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lineRule="auto" w:line="276" w:before="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КС-3) - 3 экз.</w:t>
            </w:r>
          </w:p>
        </w:tc>
      </w:tr>
      <w:tr>
        <w:trPr/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6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76"/>
              <w:rPr>
                <w:rFonts w:cs="Tahoma"/>
              </w:rPr>
            </w:pPr>
            <w:r>
              <w:rPr>
                <w:rFonts w:cs="Tahoma"/>
              </w:rPr>
            </w:r>
          </w:p>
          <w:p>
            <w:pPr>
              <w:pStyle w:val="Normal"/>
              <w:spacing w:lineRule="auto" w:line="276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6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40"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Подрядчик предоставляет  фотоотчет о проведении работ.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>
                <w:rFonts w:cs="Tahoma"/>
              </w:rPr>
              <w:t>3.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  <w:r>
              <w:rPr/>
              <w:t xml:space="preserve"> 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/>
              <w:t>4. В обязанности Подрядчика входят работы по испытанию смонтированной сети водоотведения,</w:t>
            </w:r>
            <w:r>
              <w:rPr>
                <w:rFonts w:cs="Tahoma"/>
              </w:rPr>
              <w:t xml:space="preserve"> проведению телеинспекции канализационной линии. </w:t>
            </w:r>
          </w:p>
          <w:p>
            <w:pPr>
              <w:pStyle w:val="Normal"/>
              <w:snapToGrid w:val="false"/>
              <w:spacing w:lineRule="auto" w:line="240"/>
              <w:jc w:val="both"/>
              <w:rPr/>
            </w:pPr>
            <w:r>
              <w:rPr>
                <w:rFonts w:cs="Tahoma"/>
              </w:rPr>
              <w:t>5.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spacing w:lineRule="auto" w:line="24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69" w:after="0"/>
        <w:ind w:right="-624" w:hanging="0"/>
        <w:outlineLvl w:val="0"/>
        <w:rPr/>
      </w:pPr>
      <w:r>
        <w:rPr>
          <w:rFonts w:cs="Tahoma"/>
        </w:rPr>
        <w:t xml:space="preserve">Приложение №1: </w:t>
      </w:r>
      <w:r>
        <w:rPr>
          <w:rFonts w:cs="Tahoma"/>
          <w:bCs/>
        </w:rPr>
        <w:t>Перечень исполнительной документации оформляемой подрядной строительной организацией  при строительстве наружных сетей водоотведения.</w:t>
      </w:r>
    </w:p>
    <w:p>
      <w:pPr>
        <w:pStyle w:val="Normal"/>
        <w:numPr>
          <w:ilvl w:val="0"/>
          <w:numId w:val="0"/>
        </w:numPr>
        <w:spacing w:lineRule="auto" w:line="240" w:before="69" w:after="0"/>
        <w:ind w:right="-624" w:hanging="0"/>
        <w:outlineLvl w:val="0"/>
        <w:rPr/>
      </w:pPr>
      <w:r>
        <w:rPr>
          <w:rFonts w:cs="Tahoma"/>
          <w:bCs/>
        </w:rPr>
        <w:t>Приложение №2: Реестр выполненных работ.</w:t>
      </w:r>
    </w:p>
    <w:p>
      <w:pPr>
        <w:pStyle w:val="Normal"/>
        <w:spacing w:lineRule="auto" w:line="276"/>
        <w:ind w:right="-283" w:hanging="0"/>
        <w:rPr>
          <w:rFonts w:cs="Tahoma"/>
        </w:rPr>
      </w:pPr>
      <w:r>
        <w:rPr>
          <w:rFonts w:cs="Tahoma"/>
        </w:rPr>
      </w:r>
    </w:p>
    <w:p>
      <w:pPr>
        <w:pStyle w:val="Normal"/>
        <w:spacing w:lineRule="auto" w:line="276"/>
        <w:ind w:right="-283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                Д.С. Ракицкий</w:t>
      </w:r>
    </w:p>
    <w:p>
      <w:pPr>
        <w:pStyle w:val="Normal"/>
        <w:spacing w:lineRule="auto" w:line="276" w:before="0" w:after="240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spacing w:lineRule="auto" w:line="276" w:before="0" w:after="240"/>
        <w:ind w:left="-567" w:hanging="0"/>
        <w:rPr/>
      </w:pPr>
      <w:r>
        <w:rPr/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4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character" w:styleId="Style15" w:customStyle="1">
    <w:name w:val="Верхний колонтитул Знак"/>
    <w:basedOn w:val="DefaultParagraphFont"/>
    <w:qFormat/>
    <w:rsid w:val="00507a2b"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sid w:val="00507a2b"/>
    <w:rPr>
      <w:sz w:val="24"/>
      <w:szCs w:val="24"/>
    </w:rPr>
  </w:style>
  <w:style w:type="paragraph" w:styleId="Style17" w:customStyle="1">
    <w:name w:val="Заголовок"/>
    <w:basedOn w:val="Normal"/>
    <w:next w:val="Style18"/>
    <w:qFormat/>
    <w:rsid w:val="00620848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8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9">
    <w:name w:val="List"/>
    <w:basedOn w:val="Style18"/>
    <w:rsid w:val="0062084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620848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620848"/>
    <w:pPr>
      <w:suppressLineNumbers/>
    </w:pPr>
    <w:rPr>
      <w:rFonts w:cs="Mangal"/>
    </w:rPr>
  </w:style>
  <w:style w:type="paragraph" w:styleId="Style22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3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paragraph" w:styleId="Style24" w:customStyle="1">
    <w:name w:val="Верхний и нижний колонтитулы"/>
    <w:basedOn w:val="Normal"/>
    <w:qFormat/>
    <w:pPr/>
    <w:rPr/>
  </w:style>
  <w:style w:type="paragraph" w:styleId="13" w:customStyle="1">
    <w:name w:val="Верхний колонтитул1"/>
    <w:basedOn w:val="Normal"/>
    <w:qFormat/>
    <w:rsid w:val="00507a2b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14" w:customStyle="1">
    <w:name w:val="Нижний колонтитул1"/>
    <w:basedOn w:val="Normal"/>
    <w:qFormat/>
    <w:rsid w:val="00507a2b"/>
    <w:pPr>
      <w:tabs>
        <w:tab w:val="clear" w:pos="4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215A-DCD5-4680-8B10-45BA5503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LibreOffice/6.3.4.2$Windows_X86_64 LibreOffice_project/60da17e045e08f1793c57c00ba83cdfce946d0aa</Application>
  <Pages>4</Pages>
  <Words>1111</Words>
  <Characters>8047</Characters>
  <CharactersWithSpaces>9399</CharactersWithSpaces>
  <Paragraphs>136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2021-08-27T11:58:00Z</dcterms:created>
  <dc:creator>WASQ</dc:creator>
  <dc:description/>
  <dc:language>ru-RU</dc:language>
  <cp:lastModifiedBy/>
  <cp:lastPrinted>2019-12-10T16:50:00Z</cp:lastPrinted>
  <dcterms:modified xsi:type="dcterms:W3CDTF">2022-09-19T13:06:00Z</dcterms:modified>
  <cp:revision>17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